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28"/>
          <w:szCs w:val="28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8"/>
          <w:szCs w:val="28"/>
          <w:shd w:fill="f8f9fa" w:val="clear"/>
          <w:rtl w:val="0"/>
        </w:rPr>
        <w:t xml:space="preserve">SESSIÓ 3: Càlcul de la mitjana i la desviació típica per curs i material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Càlcul de la mitjana i la desviació típica per curs i material.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Teniu l’explicació en el dossier d’Estadística.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Gràfics del conjunt de l'institut: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 - Mitjana per curs i desviació típica per curs per un mateix material.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 - Mitjana de tots els cursos com a representació general del centre.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02124"/>
          <w:sz w:val="21"/>
          <w:szCs w:val="21"/>
          <w:shd w:fill="f8f9fa" w:val="clear"/>
          <w:rtl w:val="0"/>
        </w:rPr>
        <w:t xml:space="preserve"> - Treure conclusions en funció de les edats i els materials.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color w:val="202124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